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D09" w:rsidRDefault="006300DF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4"/>
        </w:rPr>
        <w:t>OBRAZLOŽENJE IZVRŠENJA FINANCIJSKOG PLANA HRVATSKIH AUTOCESTA ZA  2025. GODINU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UVOD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Trgovačko društvo Hrvatske autoceste d.o.o. osnovano je s ciljem upravljanja, građenja i održavanja autocesta u Republici Hrvatskoj, a započelo je s obavljanjem djelatnosti 11. travnja 2001. godine. 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Hrvatske autoceste d.o.o. su u 100%-tnom vlasništvu Republike Hrvatske koja svoja prava u Skupštini Društva ostvaruje putem Vlade Republike Hrvatske.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Hrvatske autoceste d.o.o. upravljaju autocestama, grade ih, rekonstruiraju i održavaju, osim onih autocesta kojima upravlja koncesionar prema odredbama Zakona o cestama.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RAČUN PRIHODA I RASHODA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PRIHODI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624"/>
        <w:gridCol w:w="1499"/>
        <w:gridCol w:w="1499"/>
        <w:gridCol w:w="1498"/>
        <w:gridCol w:w="937"/>
        <w:gridCol w:w="937"/>
      </w:tblGrid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2024.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140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6 PRIHODI POSLOVANJA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535.596.687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561.193.995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527.962.265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98,6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94,1</w:t>
            </w:r>
          </w:p>
        </w:tc>
      </w:tr>
      <w:tr w:rsidR="005E0D09">
        <w:tc>
          <w:tcPr>
            <w:tcW w:w="14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 PRIHODI OD PRODAJE NEFINANCIJSKE IMOVINE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500" w:type="pct"/>
            <w:vAlign w:val="bottom"/>
          </w:tcPr>
          <w:p w:rsidR="005E0D09" w:rsidRDefault="005E0D09">
            <w:pPr>
              <w:spacing w:after="0" w:line="240" w:lineRule="auto"/>
              <w:jc w:val="right"/>
            </w:pPr>
          </w:p>
        </w:tc>
        <w:tc>
          <w:tcPr>
            <w:tcW w:w="500" w:type="pct"/>
            <w:vAlign w:val="bottom"/>
          </w:tcPr>
          <w:p w:rsidR="005E0D09" w:rsidRDefault="005E0D09">
            <w:pPr>
              <w:spacing w:after="0" w:line="240" w:lineRule="auto"/>
              <w:jc w:val="right"/>
            </w:pPr>
          </w:p>
        </w:tc>
      </w:tr>
      <w:tr w:rsidR="005E0D09">
        <w:tc>
          <w:tcPr>
            <w:tcW w:w="14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UKUPNI PRIHODI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535.596.687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561.193.995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527.962.265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98,6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94,1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>U 2025. godini Hrvatske autoceste d.o.o. ostvarile su ukupne prihode u visini od 527.962.265 EUR što je 1,4% manje od prihoda ostvarenih u 2024. godini. Skupina prihoda Pomoći iz inozemstva i od subjekata unutar općeg proračuna, ostvarena u iznosu od 19.790.839 EUR, uključuje Kapitalne pomoći od institucija i tijela EU, Kapitalne pomoći proračunu i izvanproračunskim korisnicima iz drugih proračuna te Kapitalne pomoći temeljem prijenosa EU sredstava. Kapitalne pomoći od institucija i tijela EU odnose se na povlačenje sredstava za projekt inteligentnih transportnih sustava Crocodile 3 Croatia temeljem završnog obračuna, dok se Kapitalne pomoći temeljem prijenosa EU sredstava planirane u iznosu od 3.000.000 EUR za projekt implementacije elektroničkog sustava naplate cestarine nisu ostvarile radi izmjena u dinamici projekta. Stavka Kapitalne pomoći proračunu i izvanproračunskim korisnicima iz drugih proračuna odnosi se na naknadu iz trošarina na energente koja se uplaćuje iz državnog proračuna na račun Hrvatskih autocesta d.o.o. i predstavlja sredstva kojim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a Republika Hrvatska financira građenje i održavanje javnih cesta te povrate kredita, a za 2025. godinu ostvarena je u iznosu od 19.000.000 EUR. Naknada iz trošarina na energente isplaćuje se na račun Hrvatskih autocesta d.o.o. najviše do iznosa koji je za te namjene osiguran u državnom proračunu za proračunsku godinu što je i razlogom smanjenja ukupnih prihoda u 2025. godini s obzirom na to da je u 2024. godini na ime trošarina Hrvatskim autocestama d.o.o. isplaćeno 56.000.000 EUR.</w:t>
      </w: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 xml:space="preserve">Naknada za korištenje nefinancijske imovine u iznosu od 19.596.375 EUR je prihod ostvaren gospodarenjem cestovnim zemljištem, a obuhvaća naknadu za korištenje cestovnog </w:t>
      </w:r>
      <w:r>
        <w:rPr>
          <w:rFonts w:ascii="Times New Roman" w:hAnsi="Times New Roman" w:cs="Times New Roman"/>
          <w:sz w:val="24"/>
        </w:rPr>
        <w:lastRenderedPageBreak/>
        <w:t>zemljišta, naknadu za obavljanje pratećih i uslužnih djelatnosti, prihod od zakupa pratećih uslužnih objekata te naknadu za osnivanje prava služnosti i prava građenja na javnoj cesti.</w:t>
      </w: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>Svi ostali prihodi koji sačinjavaju prihod od nefinancijske imovine ostvareni su u iznosu od 6.915.883 EUR, a odnose se na naknadu za ceste za izvanredni prijevoz, naplate šteta s naslova osiguranja imovine, prihode od prodaje otpadnog materijala i drugo.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ukupnim prihodima poslovanja Hrvatskih autocesta d.o.o. najveći dio odnosi se na Prihode od pruženih usluga, a čine ih  prihod od naplate cestarine i prihod od usluge održavanja cesta ostvareni za 2025. godinu u ukupnom iznosu od 474.343.575 EUR. Prihod od naplate cestarine veći je za 9,4% u odnosu na prethodnu godinu što je rezultat je rasta prometa od 5,1%, sezonskog povećanja cijena cestarine od 10% za laka vozila u 2024. godini koje je trajno zadržano te provedene korekcije stimulativnih popusta za elektroničku naplatu cestarine (ENC) za teška vozila (III. i IV. skupina) koja se primjenjuje od 1. srpnja 2025. godine.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RASHODI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624"/>
        <w:gridCol w:w="1499"/>
        <w:gridCol w:w="1499"/>
        <w:gridCol w:w="1498"/>
        <w:gridCol w:w="937"/>
        <w:gridCol w:w="937"/>
      </w:tblGrid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2024.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140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3 RASHODI POSLOVANJA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280.661.809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267.302.202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271.488.437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96,7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101,6</w:t>
            </w:r>
          </w:p>
        </w:tc>
      </w:tr>
      <w:tr w:rsidR="005E0D09">
        <w:tc>
          <w:tcPr>
            <w:tcW w:w="14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4 RASHODI ZA NABAVU NEFINANCIJSKE IMOVINE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131.056.930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115.789.825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117.336.743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89,5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101,3</w:t>
            </w:r>
          </w:p>
        </w:tc>
      </w:tr>
      <w:tr w:rsidR="005E0D09">
        <w:tc>
          <w:tcPr>
            <w:tcW w:w="14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UKUPNI RASHODI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411.718.739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383.092.027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388.825.180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94,4</w:t>
            </w:r>
          </w:p>
        </w:tc>
        <w:tc>
          <w:tcPr>
            <w:tcW w:w="5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101,5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Hrvatske autoceste d.o.o. ostvarile su ukupne rashode u visini od 388.825.180 EUR što je 1,5% više u odnosu na planirane i 5,6% manje u odnosu na 2024. godinu.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i/>
          <w:sz w:val="24"/>
        </w:rPr>
        <w:t>Rashodi za zaposlene</w:t>
      </w:r>
      <w:r>
        <w:rPr>
          <w:rFonts w:ascii="Times New Roman" w:hAnsi="Times New Roman" w:cs="Times New Roman"/>
          <w:sz w:val="24"/>
        </w:rPr>
        <w:t xml:space="preserve"> u visini od 110.547.379 EUR ostvareni su 0,14% više u odnosu na planirane i 13,72 više u odnosu na 2024. godinu, a isto je najvećim dijelom vezano uz visinu stope inflacije u 2025. godini od 3,2%, uzimajući u obzir da se osnovica plaće, temeljem odredbi Kolektivnog ugovora, korigira mjesečno, sukladno promjeni (povećanju ili smanjenju) potrošačkih cijena u Republici Hrvatskoj. U srpnju 2025. godine sklopljen je VII. dodatak Kolektivnom ugovoru kojim je utvrđena isplata nagrade za doprinos i ostvarene rezultate tijekom razdoblja najvećeg prometnog opterećenja, od 1. lipnja do 30. rujna tekuće godine, kao neoporezivi primitak.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i/>
          <w:sz w:val="24"/>
        </w:rPr>
        <w:t>Materijalni rashodi</w:t>
      </w:r>
      <w:r>
        <w:rPr>
          <w:rFonts w:ascii="Times New Roman" w:hAnsi="Times New Roman" w:cs="Times New Roman"/>
          <w:sz w:val="24"/>
        </w:rPr>
        <w:t> ostvareni su u iznosu od 49.118.723 EUR što je 4,32% više od planiranog i 11,44% više u odnosu na prethodnu godinu, a najviše je vidljivo na više ostvarenim troškovima materijala i energije te uslugama potrebnim za redovno održavanje autocesta.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i/>
          <w:sz w:val="24"/>
        </w:rPr>
        <w:t>Financijski rashodi</w:t>
      </w:r>
      <w:r>
        <w:rPr>
          <w:rFonts w:ascii="Times New Roman" w:hAnsi="Times New Roman" w:cs="Times New Roman"/>
          <w:sz w:val="24"/>
        </w:rPr>
        <w:t xml:space="preserve"> ostvareni su u iznosu od 111.427.176 EUR i veći su od planiranih za 1,83%, a manji za 19,5% u odnosu na prethodnu godinu. Kamate za primljene kredite i zajmove plaćene su u iznosu od 104.452.834 EUR, što je manje nego u 2024. godini najvećim dijelom zbog manje referentne kamatne stope Euribora u 2025. godini, a koja se koristi za određivanje promjenjivog dijela varijabilne kamatne stope u svim kreditnim zaduženjima Društva.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i/>
          <w:sz w:val="24"/>
        </w:rPr>
        <w:t>Rashodi za nabavu nefinancijske imovine</w:t>
      </w:r>
      <w:r>
        <w:rPr>
          <w:rFonts w:ascii="Times New Roman" w:hAnsi="Times New Roman" w:cs="Times New Roman"/>
          <w:sz w:val="24"/>
        </w:rPr>
        <w:t xml:space="preserve"> ostvareni su u iznosu od 117.336.743 EUR, a od ukupnih ostvarenih rashoda za nabavu nefinancijske imovine na Program građenja i izvanrednog održavanja autocesta odnosi se 105.620.353 EUR koji je ostvaren 0,21% manje u odnosu na planirano. Program građenja i izvanrednog održavanja odnosi se na investicijska </w:t>
      </w:r>
      <w:r>
        <w:rPr>
          <w:rFonts w:ascii="Times New Roman" w:hAnsi="Times New Roman" w:cs="Times New Roman"/>
          <w:sz w:val="24"/>
        </w:rPr>
        <w:lastRenderedPageBreak/>
        <w:t>ulaganja u autoceste, a aktivnosti građenja i izvanrednog održavanja autocesta u nadležnosti Hrvatskih autocesta d.o.o. planirane su  i realizirane kao nastavak investicijskog ciklusa započetog u proteklom programskom razdoblju kao i novih investicijskih ulaganja u izgradnju i održavanje autocesta. Rashodi za nabavu neproizvedene dugotrajne imovine u iznosu od 5.494.381 EUR odnose se na aktivnost otkupa zemljišta i arheološke radove koji se provode u svrhu izgradnje autoceste te na nabavu računalnih licenci za potrebe Društva. Rashodi za nabavu proizvedene dugotrajne imovine u iznosu od 70.696.484 EUR najvećim se dijelom odnose na građenje autocesta i obuhvaćaju aktivnosti projektiranja, izmještanja instalacija, izgradnje i stručnog nadzora nad građevinskim radovima (59.811.624 EUR), a uz navedeno uključuju i ulaganja u materijalnu imovinu Društva (nabava vozila, strojeva i opreme za održavanje autoceste te informatičke i telekomunikacijske opreme). Rashodi za dodatna ulaganja na nefinancijskoj imovini u iznosu od 41.145.878 EUR odnose se na izvedene radove izvanrednog održavanja, a obuhvaćaju obnovu i rekonstrukciju kolničke konstrukcije te pripadajućih objekata, sustava odvodnje, prometne opreme i signalizacije i drugo.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RAČUN FINANCIRANJA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Račun prihoda i rashoda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497"/>
        <w:gridCol w:w="1799"/>
        <w:gridCol w:w="1799"/>
        <w:gridCol w:w="899"/>
      </w:tblGrid>
      <w:tr w:rsidR="005E0D09">
        <w:tc>
          <w:tcPr>
            <w:tcW w:w="2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OSTVARENJE/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IZVRŠENJE 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2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4=3/2</w:t>
            </w:r>
          </w:p>
        </w:tc>
      </w:tr>
      <w:tr w:rsidR="005E0D09">
        <w:tc>
          <w:tcPr>
            <w:tcW w:w="250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UKUPNI PRIHODI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561.193.995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527.962.265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94,1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UKUPNI RASHODI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383.092.027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388.825.180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101,5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RAZLIKA - VIŠAK/MANJAK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178.101.968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139.137.085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78,1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Račun financiranja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497"/>
        <w:gridCol w:w="1799"/>
        <w:gridCol w:w="1799"/>
        <w:gridCol w:w="899"/>
      </w:tblGrid>
      <w:tr w:rsidR="005E0D09">
        <w:tc>
          <w:tcPr>
            <w:tcW w:w="2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OSTVARENJE/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IZVRŠENJE 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2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4=3/2</w:t>
            </w:r>
          </w:p>
        </w:tc>
      </w:tr>
      <w:tr w:rsidR="005E0D09">
        <w:tc>
          <w:tcPr>
            <w:tcW w:w="250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8 PRIMICI OD FINANCIJSKE IMOVINE I ZADUŽIVANJA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24.165.505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29.453.326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121,9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5 IZDACI ZA FINANCIJSKU IMOVINU I OTPLATE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94.351.097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94.351.096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  <w:tr w:rsidR="005E0D09">
        <w:tc>
          <w:tcPr>
            <w:tcW w:w="98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RAZLIKA PRIMITAKA I IZDATAKA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-70.185.592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-64.897.770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92,5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PRIJENOS SREDSTAVA IZ PRETHODNE GODINE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56.011.312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270.523.338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483,0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PRIJENOS SREDSTAVA U SLJEDEĆU GODINU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-163.927.688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-344.762.653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210,3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NETO FINANCIRANJE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-178.101.968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-139.137.085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78,1</w:t>
            </w:r>
          </w:p>
        </w:tc>
      </w:tr>
      <w:tr w:rsidR="005E0D09">
        <w:tc>
          <w:tcPr>
            <w:tcW w:w="2500" w:type="pct"/>
            <w:vAlign w:val="bottom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VIŠAK/MANJAK + NETO FINANCIRANJE</w:t>
            </w:r>
          </w:p>
        </w:tc>
        <w:tc>
          <w:tcPr>
            <w:tcW w:w="10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5E0D09" w:rsidRDefault="005E0D09">
            <w:pPr>
              <w:spacing w:after="0" w:line="240" w:lineRule="auto"/>
              <w:jc w:val="right"/>
            </w:pP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Ostvareni prihodi i rashodi u 2025. godini rezultiraju viškom u iznosu od 139.137.085 EUR.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Nakon podmirenja dospjelih obaveza proizašlih iz poslovnih, investicijskih i financijskih aktivnosti Društva, stanje novca u banci i blagajni na kraju 2025. godine iznosi 324.207.688 EUR. Stanje novca na početku 2025. godine iznosilo je 270.523.338 EUR, što uključuje i oročene depozite. Raspoloživi novac iskoristit će se za nastavak investicijskog ciklusa u svrhu provođenja strategije razvitka javnih cesta te za podmirenje kreditnih obveza Društva.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Primici od zaduživanja ostvareni su u iznosu od 29.453.326 EUR, a realizirani su sukcesivno, prema dinamici građevinskih radova na izgradnji autoceste A5 i autoceste A7. Izdaci za financijsku imovinu i otplate zajmova ostvareni su u iznosu od 94.351.096 EUR, a odnose se na izdatke za otplate glavnica koje su izvršavane pravovremeno, sukladno otplatnim planovima.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>PRIJENOS SREDSTAVA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Stanje novca u banci i blagajni na kraju 2025. godine iznosi 324.207.688 EUR, s uključenim depozitima, što je iznos prijenosa sredstava u slijedeću godinu, dok je prijenos sredstava u 2025. godinu iznosio 270.523.338 EUR.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POSEBNI DIO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7000 ADMINISTRATIVNO UPRAVLJANJE I OPREMANJE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128.518.290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146.813.078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151.179.468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117,6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103,0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Cilj programa je ojačati učinkovitost poslovanja kroz optimizaciju rashoda poslovanja te ulaganjima u opremanje i informatizaciju.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Cilj provedbe ovog programa je ostvaren. Izvršene su nadogradnje postojećeg poslovno – informacijskog sustava koje su automatizirale određeni manji dio knjigovodstvenih evidencija te se smanjilo vrijeme potrebno za izvršenje radnih zadataka.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Ulaganjima u nefinancijsku imovinu konstantno se obnavljaju uređaji, alati i vozila za redovno održavanje autocesta i upravljanje pa su tako nabavljeni utovarivači rovokopači, silosni posipači, snježni plugovi, malčeri, kosilice, samohodne čistilice, teretna vozila, vatrogasna vozila i drugo. Obnovljena je i uredska oprema nabavom uredskih stolaca i informatičke opreme te su izvršene softverske nadogradnje postojećeg informacijskog sustava i ažuriranje licenci. Sve aktivnosti ovog programa financiraju se vlastitim sredstvima Društva.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08"/>
        <w:gridCol w:w="1180"/>
        <w:gridCol w:w="1161"/>
        <w:gridCol w:w="1161"/>
        <w:gridCol w:w="1161"/>
        <w:gridCol w:w="1161"/>
        <w:gridCol w:w="1162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Smanjenje vremena (u satima) potrebno za izvršenje radnih zadataka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Kroz obuku djelatnika uz korištenje nadograđenih informatičkih sustava očekuje se postići smanjenje vremena potrebnog za izvršenje radnih zadataka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sati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d.o.o.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1,0</w:t>
            </w:r>
          </w:p>
        </w:tc>
      </w:tr>
    </w:tbl>
    <w:p w:rsidR="005E0D09" w:rsidRDefault="005E0D09">
      <w:pPr>
        <w:spacing w:after="0" w:line="240" w:lineRule="auto"/>
      </w:pPr>
    </w:p>
    <w:p w:rsidR="00364FA3" w:rsidRDefault="006300DF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br/>
      </w:r>
    </w:p>
    <w:p w:rsidR="00364FA3" w:rsidRDefault="00364FA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lastRenderedPageBreak/>
        <w:t xml:space="preserve">A700000 ADMINISTRACIJA I UPRAVLJANJE  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A700000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124.511.737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136.865.480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139.463.077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112,0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101,9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 ovoj aktivnosti evidentirani su rashodi neophodni za obavljanje redovne djelatnosti Društva, a obuhvaćaju rashode za zaposlene, materijalne rashode, financijske rashode i ostale rashode poslovanja. U strukturi rashoda za 2025. godinu najveći dio odnosi se na rashode za zaposlene 79,27%, slijede materijalni rashodi s 15,45% te financijski (5,00%) i ostali rashodi (0,28%). Materijalni rashodi uključuju troškove energenata (električna energija i gorivo) i materijala za održavanje te troškove usluga za održavanje (usluge za održavanje vozila i opreme, telekomunikacijske usluge, komunalne usluge i naknade, intelektualne usluge, provizije kartičarskih kuća, usluge održavanja software-a, premije osiguranja imovine i radnika, naknade za ceste i tehničke preglede i drugo). Izvršenje na ovoj aktivnosti u skladu je s planiranim.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K700000 OPREMANJE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1.885.419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2.897.972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3.403.919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180,5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117,5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 ovoj aktivnosti evidentirani su rashodi za nabavu nefinancijske imovine neophodne za obavljanje redovne djelatnosti Društva pa je tako nabavljena mrežna oprema -  vatrozid za zaštitu mrežnog prometa, uređaji za pohranu podataka, poslužitelji, poslovni prostori opremljeni su uređajima za grijanje/hlađenje, nabavljen je uredski namještaj, osobna i prijenosna računala, blagajnički printeri, fiksni i mobilni telefoni te oprema i strojevi potrebni za redovno održavanje autoceste (utovarivači rovokopači, snježni plugovi, rotacijski posipači, samohodne čistilice, kranska ruka s četkom za pranje tunela, malčeri, kosilice, pile, radionički alat) i drugo.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K700001 INFORMATIZACIJA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1.080.975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2.085.737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2.604.219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240,9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124,9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 ovoj aktivnosti ostvareni su rashodi za nabavu Oracle i drugih računalnih licenci te za nadogradnju postojećeg informacijskog sustava Društva novim modulima kao i za nadogradnju specifičnih sustava Društva, kao što su sustav prometnih tokova i sustav za pohranu kartičnih podataka. Radi odluke o daljnjoj nadogradnji postojećeg informacijskog sustava novim funkcionalnostima na ovoj aktivnosti realizirano je više sredstava od planiranog.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K700002 OBNOVA VOZNOG PARKA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1.036.966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4.963.889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5.691.869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548,9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114,7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Za potrebe redovnog održavanja autoceste nabavljena su teretna višenamjenska vozila, ophodarska vozila, dva vatrogasna vozila i vatrogasna cisterna, traktori i drugo.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>K700003 POSLOVNE ZGRADE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3.194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16.383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513,0</w:t>
            </w:r>
          </w:p>
        </w:tc>
        <w:tc>
          <w:tcPr>
            <w:tcW w:w="690" w:type="pct"/>
            <w:vAlign w:val="bottom"/>
          </w:tcPr>
          <w:p w:rsidR="005E0D09" w:rsidRDefault="005E0D09">
            <w:pPr>
              <w:spacing w:after="0" w:line="240" w:lineRule="auto"/>
              <w:jc w:val="right"/>
            </w:pP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Ostvareni iznos odnosi se na izradu projektne dokumentacije za izgradnju poslovne zgrade Hrvatskih autocesta d.o.o. u Lučkom.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7001 SERVISIRANJE UNUTARNJEG DUGA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7001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243.491.593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144.835.135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145.392.173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59,7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100,4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Cilj programa je pravovremena otplata dospjelih obveza po zaduživanju na domaćem tržištu kapitala.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Obveze po zaduživanju na domaćem tržištu kapitala otplaćene su pravovremeno, sukladno rokovima dospijeća obveza.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Održivost unutarnjeg duga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Uredno servisiranje obveza po zaduživanju na domaćem tržištu kapitala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d.o.o.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5E0D09" w:rsidRDefault="005E0D09">
      <w:pPr>
        <w:spacing w:after="0" w:line="240" w:lineRule="auto"/>
      </w:pPr>
    </w:p>
    <w:p w:rsidR="005E17BC" w:rsidRDefault="005E17BC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>A700001 ZAJMOVI OD TUZEMNIH BANAKA I OSTALIH FINANCIJSKIH INSTITUCIJA U JAVNOM SEKTORU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A700001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109.788.695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39.607.219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39.582.617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36,1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99,9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Zakonske i druge pravne osnove:</w:t>
      </w:r>
    </w:p>
    <w:p w:rsidR="005E0D09" w:rsidRDefault="006300DF">
      <w:pPr>
        <w:spacing w:line="240" w:lineRule="auto"/>
        <w:ind w:hanging="360"/>
        <w:jc w:val="both"/>
      </w:pPr>
      <w:r>
        <w:rPr>
          <w:rFonts w:ascii="Times New Roman" w:hAnsi="Times New Roman" w:cs="Times New Roman"/>
          <w:sz w:val="24"/>
        </w:rPr>
        <w:t>      -     Zakon o obveznim odnosima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i izdaci po ovoj osnovi (za kamate i glavnice) u iznosu od 39.582.617 EUR odnose se na obveze proistekle temeljem sklopljenih ugovora s bankama u javnom sektoru za financiranje izgradnje autocesta. Rashodi za kamate u 2025. godini ostvareni su u iznosu od 24.339.272 EUR dok su izdaci za glavnice ostvareni u iznosu od 15.243.345 EUR.</w:t>
      </w:r>
    </w:p>
    <w:p w:rsidR="00364FA3" w:rsidRDefault="006300DF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/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96"/>
        <w:gridCol w:w="1250"/>
        <w:gridCol w:w="1149"/>
        <w:gridCol w:w="1149"/>
        <w:gridCol w:w="1150"/>
        <w:gridCol w:w="1150"/>
        <w:gridCol w:w="1150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Izvršenje obveza prema ugovorenim rokovima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Pravovremeno izvršenje ugovorenih obveza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d.o.o.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A700002 ZAJMOVI OD TUZEMNIH BANAKA I OSTALIH FINANCIJSKIH INSTITUCIJA IZVAN JAVNOG SEKTORA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A700002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133.702.897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105.227.916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105.809.557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79,1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100,6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Zakonske i druge pravne osnove:</w:t>
      </w:r>
    </w:p>
    <w:p w:rsidR="005E0D09" w:rsidRDefault="006300DF">
      <w:pPr>
        <w:spacing w:line="240" w:lineRule="auto"/>
        <w:ind w:hanging="360"/>
        <w:jc w:val="both"/>
      </w:pPr>
      <w:r>
        <w:rPr>
          <w:rFonts w:ascii="Times New Roman" w:hAnsi="Times New Roman" w:cs="Times New Roman"/>
          <w:sz w:val="24"/>
        </w:rPr>
        <w:t>      -   Zakon o obveznim odnosima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i izdaci po ovoj osnovi (za kamate i glavnice) odnose se na obveze proistekle temeljem sklopljenih ugovora s bankama izvan javnog sektora za financiranje izgradnje autocesta. Rashodi za kamate u 2025. godini ostvareni su u iznosu od 71.092.342 EUR dok su izdaci za glavnice ostvareni u iznosu od 34.717.215 EUR. 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96"/>
        <w:gridCol w:w="1250"/>
        <w:gridCol w:w="1149"/>
        <w:gridCol w:w="1149"/>
        <w:gridCol w:w="1150"/>
        <w:gridCol w:w="1150"/>
        <w:gridCol w:w="1150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Izvršenje obveza prema ugovorenim rokovima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Pravovremeno izvršenje ugovorenih obveza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5E0D09" w:rsidRDefault="005E0D09">
      <w:pPr>
        <w:spacing w:after="0" w:line="240" w:lineRule="auto"/>
      </w:pPr>
    </w:p>
    <w:p w:rsidR="008049DF" w:rsidRDefault="008049DF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>7002 SERVISIRANJE VANJSKOG DUGA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7002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57.338.991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53.325.684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53.411.757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93,2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100,2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Cilj programa je pravovremena otplata dospjelih obveza po zaduživanju na stranom tržištu kapitala.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Obveze po zaduživanju na stranom tržištu kapitala otplaćene su pravovremeno, sukladno rokovima dospijeća obveza.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Održivost vanjskog duga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Uredno servisiranje obveza po zaduživanju na stranom tržištu kapitala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d.o.o.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A700003 ZAJMOVI OD INOZEMNIH BANAKA I OSTALIH FINANCIJSKIH INSTITUCIJA U JAVNOM SEKTORU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A700003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57.338.991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53.325.684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53.411.757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93,2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100,2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Zakonske i druge pravne osnove:</w:t>
      </w:r>
    </w:p>
    <w:p w:rsidR="005E0D09" w:rsidRDefault="006300DF">
      <w:pPr>
        <w:spacing w:line="240" w:lineRule="auto"/>
        <w:ind w:hanging="360"/>
        <w:jc w:val="both"/>
      </w:pPr>
      <w:r>
        <w:rPr>
          <w:rFonts w:ascii="Times New Roman" w:hAnsi="Times New Roman" w:cs="Times New Roman"/>
          <w:sz w:val="24"/>
        </w:rPr>
        <w:t>      -  Zakon o obveznim odnosima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i izdaci po ovoj osnovi (za kamate i glavnice) odnose se na obveze proistekle temeljem sklopljenih ugovora s bankama u javnom sektoru za financiranje izgradnje autocesta. Rashodi za kamate u 2025. godini ostvareni su u iznosu od 9.021.220 EUR dok su izdaci za glavnice ostvareni u iznosu od 44.390.537 EUR.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96"/>
        <w:gridCol w:w="1250"/>
        <w:gridCol w:w="1149"/>
        <w:gridCol w:w="1149"/>
        <w:gridCol w:w="1150"/>
        <w:gridCol w:w="1150"/>
        <w:gridCol w:w="1150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Izvršenje obveza prema ugovorenim rokovima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Pravovremeno izvršenje ugovorenih obveza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Hrvatske autoceste d.o.o.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 xml:space="preserve">7003 PROGRAM GRAĐENJA  I IZVANREDNOG ODRŽAVANJA AUTOCESTA 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7003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127.050.377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105.842.227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105.620.353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83,1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99,8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Cilj programa je razvoj cestovnog sektora u funkciji općeg gospodarskog napretka države.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Sukladno planu građenja i održavanja autocesta za 2025. godinu realizirana su investicijska ulaganja u izgradnju i izvanredno održavanje. 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08"/>
        <w:gridCol w:w="1161"/>
        <w:gridCol w:w="1161"/>
        <w:gridCol w:w="1161"/>
        <w:gridCol w:w="1180"/>
        <w:gridCol w:w="1161"/>
        <w:gridCol w:w="1162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 xml:space="preserve">Povećanje broja novoizgrađenih kilometara autoceste i </w:t>
            </w:r>
            <w:r w:rsidR="004B4CD4">
              <w:rPr>
                <w:rFonts w:ascii="Times New Roman" w:hAnsi="Times New Roman" w:cs="Times New Roman"/>
                <w:sz w:val="18"/>
              </w:rPr>
              <w:t>kontinuirano</w:t>
            </w:r>
            <w:r>
              <w:rPr>
                <w:rFonts w:ascii="Times New Roman" w:hAnsi="Times New Roman" w:cs="Times New Roman"/>
                <w:sz w:val="18"/>
              </w:rPr>
              <w:t xml:space="preserve"> održavanje kolničke konstrukcije autoceste radi povećanja sigurnosti u odvijanju cestovnog prometa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Izgrađenost mreže autocesta i održavanje autocesta na način da se očuvaju njezina temeljna svojstva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km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69,0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Godišnje izvješće Ministarstva mora,  prometa i infrastrukture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49,0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41,5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K700003 GRAĐENJE  AUTOCESTA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K700003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84.869.042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69.342.227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64.474.475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76,0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93,0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Planiranje izgradnje i održavanja autocesta uređeno je Zakonom o cestama i provodi se kroz Strategiju razvitka javnih cesta koju donosi Hrvatski sabor i programsko planske dokumente. 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Izvori sredstava za financiranje poslovnih aktivnosti Hrvatskih autocesta d.o.o. utvrđeni su člankom 86. Zakona, dok su naknade za financiranje građenja i održavanja autocesta propisane člankom 91. Zakona.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Investicijska ulaganja u izgradnju obuhvaćaju aktivnosti izvlaštenja zemljišta, izmještanje instalacija, projektiranje, građenje i nadzor.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Projektno gledano, ali i financijski, najznačajniji investicijski projekti planirani i realizirani u 2025. godini bili su: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>na pravcu A1 Zagreb – Split – Dubrovnik: izrada studijske i projektne dokumentacije za izgradnju autoceste A1, sektor Metković – Dubrovnik; izrada projektne dokumentacije i provedba upravnog postupka proširenja kapaciteta autoceste Zagreb – Karlovac – Bosiljevo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>na pravcu A3 Bregana – Zagreb – Lipovac: radovi na rekonstrukciji postojećih pratećih uslužnih objekata u svrhu poboljšanja kvalitete i uvođenje novih sadržaja (odmorište Zagreb/Plitvice, odmorište Lipovljani, odmorište Novska); izrade projektne dokumentacije za rekonstrukciju obilaznice grada Zagreba dogradnjom trećeg voznog traka od čvora Zagreb zapad do čvora Lučko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>na pravcu A5 Beli Manastir – Osijek – Svilaj, izgradnja trase autoceste od granice Republike Mađarske do Belog Manastira duljine 5 km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>na pravcu A7 Rupa – Rijeka – Žuta Lokva: radovi na izgradnji I. faze dionice Selce – Novi Vinodolski (Obilaznica Novog Vinodolskog); izrada projektne dokumentacije za dionicu Križišće – Selce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 xml:space="preserve">na pravcu A8 Kanfanar – Matulji: dogradnja drugog kolnika od čvora Matulji (Opatija) do čvora Učka na autocesti A7 </w:t>
      </w:r>
    </w:p>
    <w:p w:rsidR="005E0D09" w:rsidRDefault="006300DF" w:rsidP="00364FA3">
      <w:pPr>
        <w:pStyle w:val="Odlomakpopisa"/>
        <w:numPr>
          <w:ilvl w:val="0"/>
          <w:numId w:val="1"/>
        </w:numPr>
        <w:spacing w:line="240" w:lineRule="auto"/>
        <w:jc w:val="both"/>
      </w:pPr>
      <w:r w:rsidRPr="00364FA3">
        <w:rPr>
          <w:rFonts w:ascii="Times New Roman" w:hAnsi="Times New Roman" w:cs="Times New Roman"/>
          <w:sz w:val="24"/>
        </w:rPr>
        <w:t>na pravcu A11 Zagreb – Sisak: okončani obračun radova za izgradnju dionice Lekenik – Sisak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listopadu 2025. godine u promet je puštena dionica od granice Republike Mađarske do Belog Manastira na autocesti A5 Granica Republike Mađarske - Osijek - Svilaj duljine 5 kilometara čime je dovršena autocesta A5 u punom profilu i koridor Vc kroz Hrvatsku te je autocesta spojena na mađarski dio koridora prema Budimpešti. Također, nakon završetka treće i posljednje faze radova dovršena je rekonstrukcija i dogradnja čvora Orehovica na autocesti A6 koji je u svibnju pušten u promet, čime je omogućen brži i sigurniji prometni tok između gradske jezgre Rijeke, autoceste A6 i riječkog prstena.</w:t>
      </w:r>
    </w:p>
    <w:p w:rsidR="00C411CB" w:rsidRDefault="006300DF" w:rsidP="00C411CB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Izvori financiranja investicija u građenje u 2025. godini su krediti razvojnih banaka, vlastita sredstva i naknada iz trošarina na energente.</w:t>
      </w:r>
    </w:p>
    <w:p w:rsidR="005E0D09" w:rsidRDefault="006300DF" w:rsidP="00C411CB">
      <w:pPr>
        <w:spacing w:line="240" w:lineRule="auto"/>
        <w:jc w:val="both"/>
      </w:pPr>
      <w:r>
        <w:rPr>
          <w:rFonts w:ascii="Times New Roman" w:hAnsi="Times New Roman" w:cs="Times New Roman"/>
          <w:b/>
          <w:sz w:val="24"/>
          <w:u w:val="single"/>
        </w:rPr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86"/>
        <w:gridCol w:w="1270"/>
        <w:gridCol w:w="1139"/>
        <w:gridCol w:w="1139"/>
        <w:gridCol w:w="1180"/>
        <w:gridCol w:w="1140"/>
        <w:gridCol w:w="1140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kilometara novoizgrađenih autocesta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Novoizgrađeni kilometri autoceste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kilometara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Godišnje izvješće Ministarstva mora,  prometa i infrastrukture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5,0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K700004 IZVANREDNO - INVESTICIJSKO ODRŽAVANJE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K700004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42.181.335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36.500.000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41.145.878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97,5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112,7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Radovi izvanrednog održavanja provode se u skladu s Pravilnikom o održavanju cesta.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cilju produljena vijeka trajanja imovine te poboljšanja kvalitete i sigurnosti cestovnog prometa kontinuirano se izvode radovi izvanrednog održavanja koji obuhvaćaju obnovu i rekonstrukciju kolničke konstrukcije i objekata, sanaciju sustava cestovne odvodnje, prometne opreme i signalizacije te aktivnosti na uvođenju inteligentnih transportnih sustava u centre za održavanje i kontrolu prometa i drugo.</w:t>
      </w:r>
    </w:p>
    <w:p w:rsidR="000652B5" w:rsidRDefault="006300D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Broj kilometara investicijskog održavanja autocesta u nadležnosti Hrvatskih autocesta d.o.o., odnosno unapređenja stanja kolnika, planiran je u duljini od 44 kilometra. Radovi su se odvijali očekivanom dinamikom, uz stanku za vrijeme turističke sezone te je kolnička konstrukcija obnovljena u ukupnoj dužini od 36,5 km na autocestama A3 (25 km), A4 (1,5 km), A6 (8 km) i A7 (2 km). 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Izvori financiranja investicija u izvanredno održavanje u 2025. godini su vlastita sredstva i naknada iz trošarina na energente. Radovi izvanrednog održavanja izravno utječu na sigurnost prometovanja autocestama, a nužnost njihova izvođenja utjecala je i na veće financijsko izvršenje u odnosu na planirano.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08"/>
        <w:gridCol w:w="1161"/>
        <w:gridCol w:w="1161"/>
        <w:gridCol w:w="1161"/>
        <w:gridCol w:w="1180"/>
        <w:gridCol w:w="1161"/>
        <w:gridCol w:w="1162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kilometara investicijski održavanih autocesta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kilometara sanirane kolničke konstrukcije (asfaltnog zastora) i pripadajuće opereme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kilometara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58,0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Godišnje izvješće Ministarstva mora,  prometa i infrastrukture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44,0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36,5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7004 PROGRAM REDOVNOG ODRŽAVANJA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7004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24.238.067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26.627.000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27.572.525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113,8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103,6</w:t>
            </w:r>
          </w:p>
        </w:tc>
      </w:tr>
    </w:tbl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Cilj ovog programa je održavanje ceste prohodnom i sigurnom za prometovanje.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Tijekom godine izvršeni su svi radovi redovnog održavanja propisani člankom 13. Pravilnika o održavanju cesta i Standardom redovnog održavanja (nadzor i pregled cesta i objekata, redovito održavanje prometnih površina, sustava odvodnje, prometne signalizacije i opreme, cestovnih naprava i uređaja, redovito održavanje vegetacije, osiguranje preglednosti, čišćenje ceste, redovito održavanje cestovnih objekata, interventni radovi, zimska služba). Radovi redovnog održavanja vrše se i ovise o starosti pojedine dionice autoceste i prometnom opterećenju, stanju voznog parka, vremenskim uvjetima, temperaturi i količini padalina te drugim čimbenicima.</w:t>
      </w:r>
    </w:p>
    <w:p w:rsidR="00A77238" w:rsidRPr="00C411CB" w:rsidRDefault="00A77238">
      <w:pPr>
        <w:spacing w:line="240" w:lineRule="auto"/>
        <w:rPr>
          <w:rFonts w:ascii="Times New Roman" w:hAnsi="Times New Roman" w:cs="Times New Roman"/>
          <w:b/>
          <w:sz w:val="12"/>
          <w:u w:val="single"/>
        </w:rPr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76"/>
        <w:gridCol w:w="1320"/>
        <w:gridCol w:w="1129"/>
        <w:gridCol w:w="1129"/>
        <w:gridCol w:w="1180"/>
        <w:gridCol w:w="1130"/>
        <w:gridCol w:w="1130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Osiguravanje prohodnosti i sigurnosti autoceste na proširenoj mreži autocesta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Provjeravanje stanja svih dijelova ceste i izvođenje radova kojima se osigurava tražena razina funkcionalnosti ceste s pripadajućom opremom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Km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1151,1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Ministarstvo mora,  prometa i infrastrukture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1156,1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1159,5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A700005 REDOVNO ODRŽAVANJE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19"/>
        <w:gridCol w:w="1439"/>
        <w:gridCol w:w="1439"/>
        <w:gridCol w:w="1439"/>
        <w:gridCol w:w="1241"/>
        <w:gridCol w:w="917"/>
      </w:tblGrid>
      <w:tr w:rsidR="005E0D09">
        <w:tc>
          <w:tcPr>
            <w:tcW w:w="980" w:type="pct"/>
            <w:shd w:val="clear" w:color="auto" w:fill="BCDFFB"/>
            <w:vAlign w:val="center"/>
          </w:tcPr>
          <w:p w:rsidR="005E0D09" w:rsidRDefault="005E0D09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5E0D09">
        <w:tc>
          <w:tcPr>
            <w:tcW w:w="14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5E0D09">
        <w:tc>
          <w:tcPr>
            <w:tcW w:w="980" w:type="pct"/>
            <w:vAlign w:val="center"/>
          </w:tcPr>
          <w:p w:rsidR="005E0D09" w:rsidRDefault="006300D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A700005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24.238.067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26.627.000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27.572.525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113,8</w:t>
            </w:r>
          </w:p>
        </w:tc>
        <w:tc>
          <w:tcPr>
            <w:tcW w:w="690" w:type="pct"/>
            <w:vAlign w:val="bottom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103,6</w:t>
            </w:r>
          </w:p>
        </w:tc>
      </w:tr>
    </w:tbl>
    <w:p w:rsidR="005E0D09" w:rsidRDefault="005E0D09">
      <w:pPr>
        <w:spacing w:after="0" w:line="240" w:lineRule="auto"/>
      </w:pP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Redovno održavanje podrazumijeva aktivnosti nadzora i pregleda cesta i objekata, održavanje prometnih površina, sustava odvodnje, prometne signalizacije i opreme, cestovnih naprava i uređaja, održavanje vegetacije, čišćenje ceste, interventne radove i radove zimske službe.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Tijekom 2025. godine za troškove materijala i energije utrošeno je 16.455.228 EUR dok je na usluge redovnog održavanja utrošeno 11.117.297 EUR. Radovi su se odvijali predviđenom dinamikom, a financiraju se vlastitim sredstvima Društva.</w:t>
      </w:r>
    </w:p>
    <w:p w:rsidR="005E0D09" w:rsidRDefault="006300D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008"/>
        <w:gridCol w:w="1161"/>
        <w:gridCol w:w="1161"/>
        <w:gridCol w:w="1161"/>
        <w:gridCol w:w="1180"/>
        <w:gridCol w:w="1161"/>
        <w:gridCol w:w="1162"/>
      </w:tblGrid>
      <w:tr w:rsidR="005E0D09">
        <w:tc>
          <w:tcPr>
            <w:tcW w:w="9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5E0D09">
        <w:tc>
          <w:tcPr>
            <w:tcW w:w="9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Prohodnost i sigurnost autoceste na proširenoj mreži autocesta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Osiguravanje sigurnog i neometanog prolaska autocestom vršenjem radova redovnog održavanja propisanih Standardom i pravilima prometne struke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Km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1151,1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Ministarstvo mora,  prometa i infrastrukture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1156,1</w:t>
            </w:r>
          </w:p>
        </w:tc>
        <w:tc>
          <w:tcPr>
            <w:tcW w:w="550" w:type="pct"/>
            <w:vAlign w:val="center"/>
          </w:tcPr>
          <w:p w:rsidR="005E0D09" w:rsidRDefault="006300D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1159,5</w:t>
            </w:r>
          </w:p>
        </w:tc>
      </w:tr>
    </w:tbl>
    <w:p w:rsidR="005E0D09" w:rsidRDefault="005E0D09">
      <w:pPr>
        <w:spacing w:after="0" w:line="240" w:lineRule="auto"/>
      </w:pPr>
    </w:p>
    <w:p w:rsidR="007719C0" w:rsidRDefault="007719C0">
      <w:pPr>
        <w:spacing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E0D09" w:rsidRDefault="006300DF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4"/>
          <w:u w:val="single"/>
        </w:rPr>
        <w:t>POSEBNI IZVJEŠTAJI HRVATSKIH AUTOCESTA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ZADUŽIVANJU NA DOMAĆEM I STRANOM TRŽIŠTU NOVCA I KAPITALA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Društvo Hrvatske autoceste d.o.o. u 2025. godini nije ugovorilo novo kreditno zaduženje.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KORIŠTENJU SREDSTAVA FONDOVA EUROPSKE UNIJE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Metodologija prikazanih podataka: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Prihodi: primjenom modificiranog načela nastanka događaja.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Rashodi: iskazana je ukupna vrijednost izvršenih radova, a ovisno o ugovoru iz EU fondova se refundira ugovoreni dio prihvatljivih troškova (85% ili 50%).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Stanje potraživanja: Društvo nema iskazanih potraživanja prema EU fondovima.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Stanje obveza za primljene predujmove: U 2025. godini temeljem sklopljenih sporazuma o sufinanciranju zaprimljeni su predujmovi u ukupnom iznosu od 4.663.967 EUR za projekt Sanacije odbojne ograde na dionici od čvora Križ do čvora Lipovljani i projekt Podizanja sigurnosti prometa kroz implementaciju inteligentnih transportnih sustava.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Vanbilačna evidencija: Iskazana su ukupna potraživanja temeljem potpisanih ugovora o dodjeli bespovratnih sredstava.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Napomena: Za projekt Crocodile 3 Croatia vrijednost ugovorenih bespovratnih sredstava iskazana je ukupno za Hrvatske autoceste d.o.o. i pripojeno društvo Autocesta Rijeka – Zagreb d.d. (pripajanje je provedeno 31. prosinca 2020. godine), a Hrvatske autoceste d.o.o. kao nositelj projekta dio iskazanih primljenih sredstava iz EU fondova prosljeđuju ostalim sudionicima na projektu (Bina Istra d.d., Autocesta Zagreb – Macelj  d.o.o., Hrvatske ceste d.o.o.)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974815" cy="125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909" cy="12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IZVJEŠTAJ O DANIM ZAJMOVIMA I POTRAŽIVANJIMA PO DANIM ZAJMOVIMA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Društvo Hrvatske autoceste d.o.o. u 2025. godini nije izdalo zajam niti ima danih zajmova iz prethodnih razdoblja.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Potraživanje za dane zajmove iskazano u bilanci u iznosu od 1.101.460 EUR odnosi se na poslovanje s društvima povezanim sudjelujućim interesom (BINA-FINCOM d.d. i BINA-ISTRA d.d.).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Temeljem Ugovora o subordiniranom dugu dioničari su smanjili temeljni kapital društva BINA-FINCOM d.d. i BINA-ISTRA d.d. konverzijom iznosa smanjenja u beskamatni subordinirani dug koji koncesionar otplaćuje u jednakim godišnjim obrocima.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STANJU POTRAŽIVANJA I DOSPJELIH OBVEZA TE O STANJU POTENCIJALNIH OBVEZA PO OSNOVI SUDSKIH SPOROVA</w:t>
      </w: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>Potraživanja Društva za prihode poslovanja na dan 31. prosinca 2025. godine iznose 9.794.204 EUR.</w:t>
      </w: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>Na dan 31. prosinca 2025. godine Društvo nije imalo dospjelih, a nepodmirenih obveza.</w:t>
      </w:r>
    </w:p>
    <w:p w:rsidR="005E0D09" w:rsidRDefault="006300DF">
      <w:pPr>
        <w:spacing w:line="240" w:lineRule="auto"/>
        <w:ind w:right="79"/>
        <w:jc w:val="both"/>
      </w:pPr>
      <w:r>
        <w:rPr>
          <w:rFonts w:ascii="Times New Roman" w:hAnsi="Times New Roman" w:cs="Times New Roman"/>
          <w:sz w:val="24"/>
        </w:rPr>
        <w:t>Procjena odljeva financijskih sredstava u skorijoj budućnosti za sudske sporove po kojima se očekuju potencijalne obveze iznosi 350.000 EUR.</w:t>
      </w:r>
    </w:p>
    <w:p w:rsidR="005E0D09" w:rsidRDefault="006300D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DANIM JAMSTVIMA I PLAĆANJIMA PO PROTESTIRANIM JAMSTVIMA</w:t>
      </w:r>
    </w:p>
    <w:p w:rsidR="005E0D09" w:rsidRDefault="006300D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Društvo Hrvatske autoceste d.o.o. u razdoblju od siječnja do prosinca 2025. godine nije izdalo jamstva niti izvršilo plaćanja po protestiranim jamstvima.</w:t>
      </w:r>
    </w:p>
    <w:sectPr w:rsidR="005E0D09" w:rsidSect="00AB3A46">
      <w:footerReference w:type="default" r:id="rId8"/>
      <w:pgSz w:w="11906" w:h="16838" w:code="9"/>
      <w:pgMar w:top="1417" w:right="1417" w:bottom="1417" w:left="1417" w:header="720" w:footer="720" w:gutter="0"/>
      <w:pgNumType w:start="1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0A0" w:rsidRDefault="008150A0" w:rsidP="00AB3A46">
      <w:pPr>
        <w:spacing w:after="0" w:line="240" w:lineRule="auto"/>
      </w:pPr>
      <w:r>
        <w:separator/>
      </w:r>
    </w:p>
  </w:endnote>
  <w:endnote w:type="continuationSeparator" w:id="0">
    <w:p w:rsidR="008150A0" w:rsidRDefault="008150A0" w:rsidP="00AB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162788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B3A46" w:rsidRPr="00577E69" w:rsidRDefault="00AB3A46">
        <w:pPr>
          <w:pStyle w:val="Podnoje"/>
          <w:jc w:val="center"/>
          <w:rPr>
            <w:sz w:val="24"/>
            <w:szCs w:val="24"/>
          </w:rPr>
        </w:pPr>
        <w:r w:rsidRPr="00577E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7E6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7E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7E69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577E6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3A46" w:rsidRDefault="00AB3A4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0A0" w:rsidRDefault="008150A0" w:rsidP="00AB3A46">
      <w:pPr>
        <w:spacing w:after="0" w:line="240" w:lineRule="auto"/>
      </w:pPr>
      <w:r>
        <w:separator/>
      </w:r>
    </w:p>
  </w:footnote>
  <w:footnote w:type="continuationSeparator" w:id="0">
    <w:p w:rsidR="008150A0" w:rsidRDefault="008150A0" w:rsidP="00AB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75DB6"/>
    <w:multiLevelType w:val="hybridMultilevel"/>
    <w:tmpl w:val="C4047AA2"/>
    <w:lvl w:ilvl="0" w:tplc="C106A32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81328"/>
    <w:multiLevelType w:val="hybridMultilevel"/>
    <w:tmpl w:val="3B4A1082"/>
    <w:lvl w:ilvl="0" w:tplc="7BA4AD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0D09"/>
    <w:rsid w:val="000652B5"/>
    <w:rsid w:val="00364FA3"/>
    <w:rsid w:val="004B4CD4"/>
    <w:rsid w:val="00577E69"/>
    <w:rsid w:val="005D3226"/>
    <w:rsid w:val="005E0D09"/>
    <w:rsid w:val="005E17BC"/>
    <w:rsid w:val="005F6AB8"/>
    <w:rsid w:val="006300DF"/>
    <w:rsid w:val="007719C0"/>
    <w:rsid w:val="008049DF"/>
    <w:rsid w:val="008150A0"/>
    <w:rsid w:val="00865633"/>
    <w:rsid w:val="00907FEB"/>
    <w:rsid w:val="00A77238"/>
    <w:rsid w:val="00AB3A46"/>
    <w:rsid w:val="00B1092F"/>
    <w:rsid w:val="00C411CB"/>
    <w:rsid w:val="00F2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A553E"/>
  <w15:docId w15:val="{0BCC67A9-319B-40BE-8ADC-B09ACC4E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D3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226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AB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B3A46"/>
  </w:style>
  <w:style w:type="paragraph" w:styleId="Podnoje">
    <w:name w:val="footer"/>
    <w:basedOn w:val="Normal"/>
    <w:link w:val="PodnojeChar"/>
    <w:uiPriority w:val="99"/>
    <w:unhideWhenUsed/>
    <w:rsid w:val="00AB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B3A46"/>
  </w:style>
  <w:style w:type="paragraph" w:styleId="Odlomakpopisa">
    <w:name w:val="List Paragraph"/>
    <w:basedOn w:val="Normal"/>
    <w:uiPriority w:val="34"/>
    <w:qFormat/>
    <w:rsid w:val="00364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Franjić</cp:lastModifiedBy>
  <cp:revision>18</cp:revision>
  <cp:lastPrinted>2026-04-30T09:42:00Z</cp:lastPrinted>
  <dcterms:created xsi:type="dcterms:W3CDTF">2026-04-03T11:52:00Z</dcterms:created>
  <dcterms:modified xsi:type="dcterms:W3CDTF">2026-04-30T09:42:00Z</dcterms:modified>
</cp:coreProperties>
</file>